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D3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left"/>
        <w:textAlignment w:val="auto"/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附件1：</w:t>
      </w:r>
    </w:p>
    <w:p w14:paraId="3BFF0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09A4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印度尼西亚职业教育标准升级项目</w:t>
      </w:r>
    </w:p>
    <w:p w14:paraId="5BFDC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采购需求</w:t>
      </w:r>
    </w:p>
    <w:p w14:paraId="44CD22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tbl>
      <w:tblPr>
        <w:tblStyle w:val="5"/>
        <w:tblW w:w="903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751"/>
        <w:gridCol w:w="1819"/>
        <w:gridCol w:w="4665"/>
      </w:tblGrid>
      <w:tr w14:paraId="65D8C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noWrap w:val="0"/>
            <w:vAlign w:val="center"/>
          </w:tcPr>
          <w:p w14:paraId="4C771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noWrap w:val="0"/>
            <w:vAlign w:val="center"/>
          </w:tcPr>
          <w:p w14:paraId="2DEA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开发项目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noWrap w:val="0"/>
            <w:vAlign w:val="center"/>
          </w:tcPr>
          <w:p w14:paraId="688B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开发类型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noWrap w:val="0"/>
            <w:vAlign w:val="center"/>
          </w:tcPr>
          <w:p w14:paraId="3A4B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服务需求及技术参数</w:t>
            </w:r>
          </w:p>
        </w:tc>
      </w:tr>
      <w:tr w14:paraId="43AB6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noWrap w:val="0"/>
            <w:vAlign w:val="center"/>
          </w:tcPr>
          <w:p w14:paraId="66EC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noWrap w:val="0"/>
            <w:vAlign w:val="center"/>
          </w:tcPr>
          <w:p w14:paraId="1B113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机电一体化技术课程标准（一个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/100000元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noWrap w:val="0"/>
            <w:vAlign w:val="center"/>
          </w:tcPr>
          <w:p w14:paraId="75EB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联合开发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【副主持单位】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noWrap w:val="0"/>
            <w:vAlign w:val="top"/>
          </w:tcPr>
          <w:p w14:paraId="2D0723E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课程框架规范：</w:t>
            </w:r>
          </w:p>
          <w:p w14:paraId="49BF2FEF">
            <w:pPr>
              <w:pStyle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（一）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模块划分：</w:t>
            </w:r>
          </w:p>
          <w:p w14:paraId="15214B48"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理论模块：涵盖专业核心知识单元。例如：《测量技术》等，注重印尼本土案例应用）。</w:t>
            </w:r>
          </w:p>
          <w:p w14:paraId="02ECC9A3"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实训模块：开发典型工业场景的实践项目，配套必要的指导材料。</w:t>
            </w:r>
          </w:p>
          <w:p w14:paraId="06DEBCB6"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评价模块：构建与职业资格衔接的评估体系。</w:t>
            </w:r>
          </w:p>
          <w:p w14:paraId="20191909">
            <w:pPr>
              <w:pStyle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（二）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教材配套：</w:t>
            </w:r>
          </w:p>
          <w:p w14:paraId="1480D93A"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编制符合印尼教学周期的实施计划。</w:t>
            </w:r>
          </w:p>
          <w:p w14:paraId="15430AC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审核与更新：</w:t>
            </w:r>
          </w:p>
          <w:p w14:paraId="1623D8FE"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更新周期：建立与产业技术发展同步的动态调整机制。</w:t>
            </w:r>
          </w:p>
          <w:p w14:paraId="79D26A23"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版本管理：采用规范的版本标识体系。</w:t>
            </w:r>
          </w:p>
          <w:p w14:paraId="588A429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过程留痕：</w:t>
            </w:r>
          </w:p>
          <w:p w14:paraId="2907361E"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Curriculum system(D3/D4)0210-LZPU（课程框架原稿） </w:t>
            </w:r>
          </w:p>
          <w:p w14:paraId="14F9B2C6"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ICVEEP课程体系研讨-会议纪要 </w:t>
            </w:r>
          </w:p>
          <w:p w14:paraId="703605D8"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ICVEEP项目院校评审时间安排表</w:t>
            </w:r>
          </w:p>
          <w:p w14:paraId="7B881601"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（4）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ICVEEP项目专业标准、课程标准实施计划书(</w:t>
            </w:r>
          </w:p>
          <w:p w14:paraId="729DF6ED"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（5）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评审意见撰写相关说明</w:t>
            </w:r>
          </w:p>
        </w:tc>
      </w:tr>
      <w:tr w14:paraId="1CC92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noWrap w:val="0"/>
            <w:vAlign w:val="center"/>
          </w:tcPr>
          <w:p w14:paraId="3DD8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noWrap w:val="0"/>
            <w:vAlign w:val="center"/>
          </w:tcPr>
          <w:p w14:paraId="737EB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国际化</w:t>
            </w:r>
          </w:p>
          <w:p w14:paraId="04FA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教材编写  （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/60000元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noWrap w:val="0"/>
            <w:vAlign w:val="center"/>
          </w:tcPr>
          <w:p w14:paraId="4ED52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联合编写    【副主编】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FDFE"/>
            <w:noWrap w:val="0"/>
            <w:vAlign w:val="top"/>
          </w:tcPr>
          <w:p w14:paraId="53C78FD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编写规范：</w:t>
            </w:r>
          </w:p>
          <w:p w14:paraId="153D3272">
            <w:pPr>
              <w:pStyle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内容标准：</w:t>
            </w:r>
          </w:p>
          <w:p w14:paraId="491E42FC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教材（D3层次）：体量符合职业教育层次特点，理论模块聚焦核心知识，配套产学研结合的实践任务。提供电子版书籍文稿。</w:t>
            </w:r>
          </w:p>
          <w:p w14:paraId="6AE82E49">
            <w:pPr>
              <w:pStyle w:val="2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出版要求：</w:t>
            </w:r>
          </w:p>
          <w:p w14:paraId="72EA4584"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印尼出版社资质：印尼正规出版渠道发行（如Penerbit Andi）。</w:t>
            </w:r>
          </w:p>
          <w:p w14:paraId="2D6CBBB7"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出版合同：明确教材印量≥1000册/部。</w:t>
            </w:r>
          </w:p>
          <w:p w14:paraId="5CE1188A"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i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翻译与审校：</w:t>
            </w:r>
          </w:p>
          <w:p w14:paraId="534FC1D2"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翻译流程：中文初稿→专业译员翻译→印尼行业专家术语审校→交叉校对（错误率≤0.5%）。</w:t>
            </w:r>
          </w:p>
          <w:p w14:paraId="75CA1E92"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防抄袭检测：通过专业检测确保原创性。</w:t>
            </w:r>
          </w:p>
          <w:p w14:paraId="75D2F044"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过程留痕：</w:t>
            </w:r>
          </w:p>
          <w:p w14:paraId="694993E6"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021_12.24.24_Invitation Letter sign-邀请函（出版社合作证明）</w:t>
            </w:r>
          </w:p>
          <w:p w14:paraId="2059F4A3"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ICVEEP项目专家推荐报名信息汇总表（译者资质证明）</w:t>
            </w:r>
          </w:p>
          <w:p w14:paraId="35C587F6"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ICVEEP项目工作联系函v2.0</w:t>
            </w:r>
          </w:p>
          <w:p w14:paraId="0A096855"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（4）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Task Arrangment-D4 Mechanical and Electronic（安全标准编写分工）</w:t>
            </w:r>
          </w:p>
        </w:tc>
      </w:tr>
    </w:tbl>
    <w:p w14:paraId="1C252634"/>
    <w:sectPr>
      <w:footerReference r:id="rId3" w:type="default"/>
      <w:pgSz w:w="11906" w:h="16838"/>
      <w:pgMar w:top="1417" w:right="1800" w:bottom="1417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AA709E1-F137-4400-8638-938857298FDA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2FB8AC3-6115-49A6-BB4C-86F454B6752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A487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B1FB21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B1FB21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NjVhNGRlOTc4NTgxODNlMDA1MzQ4ZDFkNzdmYWEifQ=="/>
  </w:docVars>
  <w:rsids>
    <w:rsidRoot w:val="00000000"/>
    <w:rsid w:val="06BD45F0"/>
    <w:rsid w:val="0D2408E3"/>
    <w:rsid w:val="25D1734F"/>
    <w:rsid w:val="29062529"/>
    <w:rsid w:val="332A457E"/>
    <w:rsid w:val="5FD2A0E6"/>
    <w:rsid w:val="712679DB"/>
    <w:rsid w:val="72CE6704"/>
    <w:rsid w:val="73F7A783"/>
    <w:rsid w:val="7D37DD20"/>
    <w:rsid w:val="7E853E1A"/>
    <w:rsid w:val="BE758A1A"/>
    <w:rsid w:val="EFA9F14C"/>
    <w:rsid w:val="F36F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pBdr>
        <w:top w:val="none" w:color="auto" w:sz="0" w:space="1"/>
        <w:left w:val="none" w:color="auto" w:sz="0" w:space="4"/>
        <w:bottom w:val="none" w:color="B8CCE4" w:sz="0" w:space="2"/>
        <w:right w:val="none" w:color="auto" w:sz="0" w:space="4"/>
      </w:pBdr>
      <w:spacing w:before="200" w:after="80"/>
      <w:outlineLvl w:val="3"/>
    </w:pPr>
    <w:rPr>
      <w:rFonts w:ascii="Cambria" w:hAnsi="Cambria"/>
      <w:iCs/>
      <w:color w:val="4F81BD"/>
      <w:sz w:val="24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635</Words>
  <Characters>797</Characters>
  <Lines>0</Lines>
  <Paragraphs>0</Paragraphs>
  <TotalTime>13</TotalTime>
  <ScaleCrop>false</ScaleCrop>
  <LinksUpToDate>false</LinksUpToDate>
  <CharactersWithSpaces>815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2025-02-27T09:10:00Z</dcterms:created>
  <dc:creator>QH</dc:creator>
  <cp:lastModifiedBy>张艳华</cp:lastModifiedBy>
  <dcterms:modified xsi:type="dcterms:W3CDTF">2025-03-06T03:08:51Z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KSOTemplateDocerSaveRecord">
    <vt:lpwstr>eyJoZGlkIjoiYTcyZTVhOGQwMWRjMmJkNDBhNjFiZTdiNjY1ODNhM2YiLCJ1c2VySWQiOiI0MzAyNjI4NzAifQ==</vt:lpwstr>
  </property>
  <property fmtid="{D5CDD505-2E9C-101B-9397-08002B2CF9AE}" pid="4" name="ICV">
    <vt:lpwstr>0FAB7008CF8346D71204C967722DA555</vt:lpwstr>
  </property>
</Properties>
</file>