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3540E">
      <w:pPr>
        <w:pStyle w:val="3"/>
        <w:shd w:val="clear" w:color="auto" w:fill="FFFFFF"/>
        <w:spacing w:before="0" w:after="120" w:line="360" w:lineRule="auto"/>
        <w:jc w:val="center"/>
        <w:rPr>
          <w:rFonts w:ascii="方正小标宋简体" w:hAnsi="方正小标宋简体" w:eastAsia="方正小标宋简体" w:cs="方正小标宋简体"/>
          <w:b w:val="0"/>
          <w:bCs w:val="0"/>
          <w:color w:val="000000" w:themeColor="text1"/>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14:textFill>
            <w14:solidFill>
              <w14:schemeClr w14:val="tx1"/>
            </w14:solidFill>
          </w14:textFill>
        </w:rPr>
        <w:t>防城港职业技术学院</w:t>
      </w:r>
    </w:p>
    <w:p w14:paraId="2A8E34F3">
      <w:pPr>
        <w:pStyle w:val="3"/>
        <w:shd w:val="clear" w:color="auto" w:fill="FFFFFF"/>
        <w:spacing w:before="0" w:after="120" w:line="360" w:lineRule="auto"/>
        <w:jc w:val="center"/>
        <w:rPr>
          <w:rFonts w:ascii="方正小标宋简体" w:hAnsi="方正小标宋简体" w:eastAsia="方正小标宋简体" w:cs="方正小标宋简体"/>
          <w:b w:val="0"/>
          <w:bCs w:val="0"/>
          <w:color w:val="000000" w:themeColor="text1"/>
          <w14:textFill>
            <w14:solidFill>
              <w14:schemeClr w14:val="tx1"/>
            </w14:solidFill>
          </w14:textFill>
        </w:rPr>
      </w:pPr>
      <w:bookmarkStart w:id="0" w:name="_Hlk171859530"/>
      <w:r>
        <w:rPr>
          <w:rFonts w:hint="eastAsia" w:ascii="方正小标宋简体" w:hAnsi="方正小标宋简体" w:eastAsia="方正小标宋简体" w:cs="方正小标宋简体"/>
          <w:b w:val="0"/>
          <w:bCs w:val="0"/>
          <w:color w:val="000000" w:themeColor="text1"/>
          <w14:textFill>
            <w14:solidFill>
              <w14:schemeClr w14:val="tx1"/>
            </w14:solidFill>
          </w14:textFill>
        </w:rPr>
        <w:t>经济管理学院</w:t>
      </w:r>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现代物流管理专业在线</w:t>
      </w:r>
      <w:r>
        <w:rPr>
          <w:rFonts w:hint="eastAsia" w:ascii="方正小标宋简体" w:hAnsi="方正小标宋简体" w:eastAsia="方正小标宋简体" w:cs="方正小标宋简体"/>
          <w:b w:val="0"/>
          <w:bCs w:val="0"/>
          <w:color w:val="000000" w:themeColor="text1"/>
          <w14:textFill>
            <w14:solidFill>
              <w14:schemeClr w14:val="tx1"/>
            </w14:solidFill>
          </w14:textFill>
        </w:rPr>
        <w:t>精品课程</w:t>
      </w:r>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资源库</w:t>
      </w:r>
      <w:r>
        <w:rPr>
          <w:rFonts w:hint="eastAsia" w:ascii="方正小标宋简体" w:hAnsi="方正小标宋简体" w:eastAsia="方正小标宋简体" w:cs="方正小标宋简体"/>
          <w:b w:val="0"/>
          <w:bCs w:val="0"/>
          <w:color w:val="000000" w:themeColor="text1"/>
          <w14:textFill>
            <w14:solidFill>
              <w14:schemeClr w14:val="tx1"/>
            </w14:solidFill>
          </w14:textFill>
        </w:rPr>
        <w:t>建设项目</w:t>
      </w:r>
      <w:bookmarkEnd w:id="0"/>
      <w:r>
        <w:rPr>
          <w:rFonts w:hint="eastAsia" w:ascii="方正小标宋简体" w:hAnsi="方正小标宋简体" w:eastAsia="方正小标宋简体" w:cs="方正小标宋简体"/>
          <w:b w:val="0"/>
          <w:bCs w:val="0"/>
          <w:color w:val="000000" w:themeColor="text1"/>
          <w14:textFill>
            <w14:solidFill>
              <w14:schemeClr w14:val="tx1"/>
            </w14:solidFill>
          </w14:textFill>
        </w:rPr>
        <w:t>采购公告综合评分法</w:t>
      </w:r>
    </w:p>
    <w:p w14:paraId="09E70D50">
      <w:pPr>
        <w:numPr>
          <w:ilvl w:val="0"/>
          <w:numId w:val="1"/>
        </w:numPr>
        <w:spacing w:line="360" w:lineRule="auto"/>
        <w:outlineLvl w:val="0"/>
        <w:rPr>
          <w:rFonts w:ascii="黑体" w:hAnsi="黑体" w:eastAsia="黑体" w:cs="黑体"/>
          <w:b/>
          <w:sz w:val="32"/>
          <w:szCs w:val="32"/>
        </w:rPr>
      </w:pPr>
      <w:bookmarkStart w:id="1" w:name="_Toc167978249"/>
      <w:r>
        <w:rPr>
          <w:rFonts w:hint="eastAsia" w:ascii="黑体" w:hAnsi="黑体" w:eastAsia="黑体" w:cs="黑体"/>
          <w:b/>
          <w:sz w:val="32"/>
          <w:szCs w:val="32"/>
        </w:rPr>
        <w:t>评分标准：</w:t>
      </w:r>
      <w:bookmarkEnd w:id="1"/>
    </w:p>
    <w:p w14:paraId="7FF65F32">
      <w:pPr>
        <w:pStyle w:val="9"/>
        <w:spacing w:line="360" w:lineRule="auto"/>
        <w:ind w:firstLine="640" w:firstLineChars="200"/>
        <w:outlineLvl w:val="0"/>
        <w:rPr>
          <w:rFonts w:ascii="仿宋_GB2312" w:hAnsi="仿宋_GB2312" w:eastAsia="仿宋_GB2312" w:cs="仿宋_GB2312"/>
          <w:sz w:val="32"/>
          <w:szCs w:val="32"/>
        </w:rPr>
      </w:pPr>
      <w:bookmarkStart w:id="2" w:name="_Toc167978250"/>
      <w:r>
        <w:rPr>
          <w:rFonts w:hint="eastAsia" w:ascii="仿宋_GB2312" w:hAnsi="仿宋_GB2312" w:eastAsia="仿宋_GB2312" w:cs="仿宋_GB2312"/>
          <w:sz w:val="32"/>
          <w:szCs w:val="32"/>
        </w:rPr>
        <w:t>（一）对通过资格审查、符合性审查经</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确定的供应商进行详细评分，采用百分制综合评分法。</w:t>
      </w:r>
      <w:bookmarkEnd w:id="2"/>
    </w:p>
    <w:p w14:paraId="29AEF6A7">
      <w:pPr>
        <w:pStyle w:val="9"/>
        <w:spacing w:line="360" w:lineRule="auto"/>
        <w:ind w:firstLine="640" w:firstLineChars="200"/>
        <w:outlineLvl w:val="0"/>
        <w:rPr>
          <w:rFonts w:ascii="仿宋_GB2312" w:hAnsi="仿宋_GB2312" w:eastAsia="仿宋_GB2312" w:cs="仿宋_GB2312"/>
          <w:sz w:val="32"/>
          <w:szCs w:val="32"/>
        </w:rPr>
      </w:pPr>
      <w:bookmarkStart w:id="3" w:name="_Toc167978251"/>
      <w:r>
        <w:rPr>
          <w:rFonts w:hint="eastAsia" w:ascii="仿宋_GB2312" w:hAnsi="仿宋_GB2312" w:eastAsia="仿宋_GB2312" w:cs="仿宋_GB2312"/>
          <w:sz w:val="32"/>
          <w:szCs w:val="32"/>
        </w:rPr>
        <w:t>（二）计分办法（按四舍五入取至百分位）：</w:t>
      </w:r>
      <w:bookmarkEnd w:id="3"/>
    </w:p>
    <w:p w14:paraId="38393751">
      <w:pPr>
        <w:pStyle w:val="22"/>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1、价格分…………………………………………10分</w:t>
      </w:r>
    </w:p>
    <w:p w14:paraId="060BDF51">
      <w:pPr>
        <w:pStyle w:val="9"/>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认为供应商的报价明显低于其他通过符合性审查供应商的报价，有可能影响服务质量或者不能诚信履约的，应当要求其在评审合理的时间内提供书面说明，必要时提交相关证明材料；供应商不能证明其报价合理性的，</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应当将其作为无效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处理。</w:t>
      </w:r>
    </w:p>
    <w:p w14:paraId="1082E572">
      <w:pPr>
        <w:pStyle w:val="9"/>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（2）价格分采用低价优先法计算，满足</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内容要求且最后</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报价最低的为</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基准价，其价格分为满分10分。其他供应商的价格分统一按照下列公式计算：</w:t>
      </w:r>
    </w:p>
    <w:p w14:paraId="08A8F0AD">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报价得分=（</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基准价/供应商最后</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报价）×10</w:t>
      </w:r>
    </w:p>
    <w:p w14:paraId="5425E168">
      <w:pPr>
        <w:pStyle w:val="22"/>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2、项目实施方案分……………………………16分</w:t>
      </w:r>
    </w:p>
    <w:p w14:paraId="4C453456">
      <w:pPr>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一档（5分）：供应商对本项目的理解、项目实施计划、安排表述一般，提供的实施方案简单，针对性一般；功能模块缺乏完整性，整体分析科学合理性及可操作性一般；</w:t>
      </w:r>
    </w:p>
    <w:p w14:paraId="15F5B41E">
      <w:pPr>
        <w:widowControl/>
        <w:spacing w:line="360" w:lineRule="auto"/>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档（8分）：供应商对本项目的理解、项目实施计划、安排表述基本清晰、合理，能够提供较完整的实施方案，有一定的针对性；功能模块较齐全，实现思路和关键技术方案内容描述较详细，整体分析较科学合理可操作性较强</w:t>
      </w:r>
      <w:r>
        <w:rPr>
          <w:rFonts w:hint="eastAsia" w:ascii="仿宋_GB2312" w:hAnsi="仿宋_GB2312" w:eastAsia="仿宋_GB2312" w:cs="仿宋_GB2312"/>
          <w:sz w:val="32"/>
          <w:szCs w:val="32"/>
          <w:lang w:eastAsia="zh-Hans"/>
        </w:rPr>
        <w:t>；</w:t>
      </w:r>
    </w:p>
    <w:p w14:paraId="0E0B9375">
      <w:pPr>
        <w:tabs>
          <w:tab w:val="left" w:pos="900"/>
          <w:tab w:val="left" w:pos="1588"/>
        </w:tabs>
        <w:adjustRightInd w:val="0"/>
        <w:spacing w:before="120" w:line="360" w:lineRule="auto"/>
        <w:outlineLvl w:val="2"/>
        <w:rPr>
          <w:rFonts w:ascii="仿宋_GB2312" w:hAnsi="仿宋_GB2312" w:eastAsia="仿宋_GB2312" w:cs="仿宋_GB2312"/>
          <w:sz w:val="32"/>
          <w:szCs w:val="32"/>
          <w:lang w:eastAsia="zh-Hans"/>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w:t>
      </w:r>
      <w:bookmarkStart w:id="4" w:name="_Toc167978252"/>
      <w:r>
        <w:rPr>
          <w:rFonts w:hint="eastAsia" w:ascii="仿宋_GB2312" w:hAnsi="仿宋_GB2312" w:eastAsia="仿宋_GB2312" w:cs="仿宋_GB2312"/>
          <w:sz w:val="32"/>
          <w:szCs w:val="32"/>
        </w:rPr>
        <w:t>三档（12分）：供应商对本项目的理解、项目实施计划、安排表述清晰、合理、完整，能够提供完整的实施方案，针对性较强；功能模块齐全，实现思路和关键技术方案内容描述详细，整体分析科学全面、合理可操作性强</w:t>
      </w:r>
      <w:r>
        <w:rPr>
          <w:rFonts w:hint="eastAsia" w:ascii="仿宋_GB2312" w:hAnsi="仿宋_GB2312" w:eastAsia="仿宋_GB2312" w:cs="仿宋_GB2312"/>
          <w:sz w:val="32"/>
          <w:szCs w:val="32"/>
          <w:lang w:eastAsia="zh-Hans"/>
        </w:rPr>
        <w:t>；</w:t>
      </w:r>
      <w:bookmarkEnd w:id="4"/>
    </w:p>
    <w:p w14:paraId="6D249797">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档（16分）供应商对本项目的理解、项目实施计划、安排表述清晰、完整、严谨、合理，能够提供完整切实可行的实施方案，且方案完全符合项目及采购人要求；功能模块齐全，实现思路和关键技术方案内容描述详尽，整体分析透彻、全面、科学合理，可操作性强。</w:t>
      </w:r>
    </w:p>
    <w:p w14:paraId="2FD85C84">
      <w:pPr>
        <w:pStyle w:val="22"/>
        <w:spacing w:line="360" w:lineRule="auto"/>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3、售后服务承诺方案分…………………………15分</w:t>
      </w:r>
    </w:p>
    <w:p w14:paraId="1A61F3B8">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一档（1分）：</w:t>
      </w:r>
      <w:r>
        <w:rPr>
          <w:rFonts w:hint="eastAsia" w:ascii="仿宋_GB2312" w:hAnsi="仿宋_GB2312" w:eastAsia="仿宋_GB2312" w:cs="仿宋_GB2312"/>
          <w:sz w:val="32"/>
          <w:szCs w:val="32"/>
        </w:rPr>
        <w:t>供应商提供的售后服务方案与本次项目不符，不满足采购需求</w:t>
      </w:r>
      <w:r>
        <w:rPr>
          <w:rFonts w:hint="eastAsia" w:ascii="仿宋_GB2312" w:hAnsi="仿宋_GB2312" w:eastAsia="仿宋_GB2312" w:cs="仿宋_GB2312"/>
          <w:kern w:val="0"/>
          <w:sz w:val="32"/>
          <w:szCs w:val="32"/>
        </w:rPr>
        <w:t>；</w:t>
      </w:r>
    </w:p>
    <w:p w14:paraId="3ACFA36D">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二档（5分）：供应商提供的售后服务方案，方案包含有售后服务承诺、应急保障措施和售后培训，基本满足采购需求，方案基本可行；</w:t>
      </w:r>
    </w:p>
    <w:p w14:paraId="4ABD4E4F">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三档（10分）：供应商提供的售后服务方案，方案包含有售后服务承诺、应急保障措施和售后培训方案可行较详细，能很好地满足采购人需求；</w:t>
      </w:r>
    </w:p>
    <w:p w14:paraId="5B721200">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四档（15分）：供应商提供的售后服务方案，方案包含有售后服务承诺、应急保障措施、售后培训、服务质量控制、监督措施和优化措施等，方案完整详细、层次清晰，针对性强，能充分满足且优于采购人需求。</w:t>
      </w:r>
    </w:p>
    <w:p w14:paraId="42297A05">
      <w:pPr>
        <w:pStyle w:val="22"/>
        <w:spacing w:line="360" w:lineRule="auto"/>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4.技术参数响应分………………………………20分</w:t>
      </w:r>
    </w:p>
    <w:p w14:paraId="4C3ADA7F">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所有服务需求的参数及功能完全满足</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文件要求得基本分20分，每有1项非标“▲”的技术指标或要求发生负偏离或漏项的扣2分，最多扣完本项分值。</w:t>
      </w:r>
    </w:p>
    <w:p w14:paraId="08DD1B53">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说明：有一项标“▲”的技术指标或要求发生负偏离，或者非标“▲”的技术指标或要求发生负偏离总数达9项按</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无效处理。</w:t>
      </w:r>
    </w:p>
    <w:p w14:paraId="256DE2D2">
      <w:pPr>
        <w:pStyle w:val="22"/>
        <w:spacing w:line="360" w:lineRule="auto"/>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5.系统功能演示分………………………………20分</w:t>
      </w:r>
    </w:p>
    <w:p w14:paraId="03A35774">
      <w:pPr>
        <w:spacing w:line="360" w:lineRule="auto"/>
        <w:ind w:firstLine="681" w:firstLineChars="213"/>
        <w:rPr>
          <w:rFonts w:ascii="仿宋_GB2312" w:hAnsi="仿宋_GB2312" w:eastAsia="仿宋_GB2312" w:cs="仿宋_GB2312"/>
          <w:sz w:val="32"/>
          <w:szCs w:val="32"/>
        </w:rPr>
      </w:pPr>
      <w:r>
        <w:rPr>
          <w:rFonts w:hint="eastAsia" w:ascii="仿宋_GB2312" w:hAnsi="仿宋_GB2312" w:eastAsia="仿宋_GB2312" w:cs="仿宋_GB2312"/>
          <w:sz w:val="32"/>
          <w:szCs w:val="32"/>
        </w:rPr>
        <w:t>供应商对以下指标参数进行原系统功能演示，由评审小组根据演示情况评审并打分，每完整演示1项指标参数及性能满足文件要求的得2分，满分20分。演示必须是采取现场直播进行原系统操作演示，不接受视频动画、PPT、图像、图片的演示，供应商需具备良好的网络环境、电脑设备并配备功能正常的摄像和语音设备，由</w:t>
      </w:r>
      <w:bookmarkStart w:id="5" w:name="_GoBack"/>
      <w:bookmarkEnd w:id="5"/>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线上发起视频会议，提供屏幕共享向</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进行演示。如因供应商未按要求配备设备而导致无法进行演示的，由供应商自行承担责任。</w:t>
      </w:r>
    </w:p>
    <w:p w14:paraId="6078AACB">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（1）支持不借助任何第三方投屏软件，通过移动端投屏功能把移动端图片、文档、课程相关图片、视频资源直接在投在电脑屏幕上展示。</w:t>
      </w:r>
    </w:p>
    <w:p w14:paraId="103D2962">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（2）资源推送到课程：教师用户可将教学资源库中的资源推送到自己建的网络课程资料中，也可以将资源直接推送到课程某个章节中，用于教学使用。</w:t>
      </w:r>
    </w:p>
    <w:p w14:paraId="15693CD7">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（3）支持在课程章节中插入直播教学，可对直播方式进行设置，包括pc客户端直播、app直播或推流直播等，所有已添加直播由个人直播管理后台统一管理。</w:t>
      </w:r>
    </w:p>
    <w:p w14:paraId="014FCC57">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（4）支持添加课程基本信息，并指派课程负责人进行知识图谱的建设。支持手动添加和各种形式的批量导入知识点。支持本地导入的思维导图文件，自动读取文件数据，生成课程知识图谱。</w:t>
      </w:r>
    </w:p>
    <w:p w14:paraId="6D5EDCFA">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（5）支持知识点拓展阅读功能，可以根据一个关键词自动生成相关知识点的知识树，插入到课程单元中，并自动推送知识点相关的图书、期刊、论文等资料。</w:t>
      </w:r>
    </w:p>
    <w:p w14:paraId="6B504593">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资源展示：独立页面，带信息、评分、评论等。进入单个资源详情中，可见到资源的展示界面，展示界面包括资源上传者、所属单位、关键词、资源内容简介、评分等介绍。支持多角度、多纬度的数据统计查询，对资源的下载次数及阅读次数进行统计。帮助用户准确判断资源的可用性。视频文件，上传可自动截第一帧画面作为缩略图。</w:t>
      </w:r>
    </w:p>
    <w:p w14:paraId="018A0D38">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2829D7B7">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（8）资源添加到课程：教师用户可将教学资源库中的资源添加至自己的网络课程的共享资料中，也可以将资源直接推送到课程某个章节中，用于课程教学使用。</w:t>
      </w:r>
    </w:p>
    <w:p w14:paraId="45D0A533">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程建设者可通过系统推荐或者自行检索将教学资源库中的资源引用到网络课程章节中，并可以设置成为任务点，丰富课程资源；网络教学平台中的课程资源，也可推送至教学资源库中进行共享，最终达到教学资源库和网络教学平台双向互通。</w:t>
      </w:r>
    </w:p>
    <w:p w14:paraId="1324E522">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（9）课程内容安全检测</w:t>
      </w:r>
    </w:p>
    <w:p w14:paraId="188EC621">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程文本检测：支持基于快速规则算法过滤特定敏感文本；支持基于文本模型，通过对文本进行聚类和语义分析进行敏感识别；支持检测涉政、谩骂、灌水等七种类型的敏感文本；支持对变种敏感文本检测；支持对用户自定义的敏感内容进行检测。</w:t>
      </w:r>
    </w:p>
    <w:p w14:paraId="6FEC8D95">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课程图片检测：支持根据图片分类模型对敏感图片进行识别；支持根据图片目标检测对图片中小目标敏感内容识别；支持根据用户自定义的敏感图片进行敏感识别比对；支持根据人像 AI 模型对涉政、违禁人物进行人脸识别；支持检测涉政、色情、违禁等六种类型的敏感图片检测。</w:t>
      </w:r>
    </w:p>
    <w:p w14:paraId="6BBA0049">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课程视频检测：支持对离线视频进行敏感内容检测；视频的分类识别基于图片检测识别进行，可实现图片检测的全类检测。</w:t>
      </w:r>
    </w:p>
    <w:p w14:paraId="705E6E8A">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课程文档检测：支持对 word、txt、ppt 等多种格式文档内容进行解析，并还原文档位置；文档检测模型基于文本检测与图片检测，可实现文本检测与图片检测的全类检测。</w:t>
      </w:r>
    </w:p>
    <w:p w14:paraId="784DD6F4">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6C5C1537">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注：演示时间不超过20分钟。不提供演示的，演示分为0分。</w:t>
      </w:r>
    </w:p>
    <w:p w14:paraId="23A6D106">
      <w:pPr>
        <w:pStyle w:val="22"/>
        <w:spacing w:line="360" w:lineRule="auto"/>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6.企业实力与业绩分……………………………19分</w:t>
      </w:r>
    </w:p>
    <w:p w14:paraId="51AD9856">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（1）具有广播电视节目制作经营许可证，满足该条件得1分，提供相关证明材料，否则不得分。</w:t>
      </w:r>
    </w:p>
    <w:p w14:paraId="0BBA0E30">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（2）具有网络在线教学课程管理平台的著作权，满足该条件得2分，提供相关证明材料，否则不得分。</w:t>
      </w:r>
    </w:p>
    <w:p w14:paraId="7BBEECF9">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（3）具有一体化教学智慧管理平台的著作权，满足该条件得2分，提供相关证明材料，否则不得分。</w:t>
      </w:r>
    </w:p>
    <w:p w14:paraId="66960CBB">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（4）具有专业建设管理平台的著作权，满足该条件得2分，提供相关证明材料，否则不得分。</w:t>
      </w:r>
    </w:p>
    <w:p w14:paraId="257360F0">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（5）供应商提供2021年至今同类项目业绩，每提供1个得1分，满分6分（提供合同复印件并加盖公章，不提供不得分）</w:t>
      </w:r>
    </w:p>
    <w:p w14:paraId="565AAC74">
      <w:pPr>
        <w:spacing w:line="360" w:lineRule="auto"/>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供应商自2021年合作的课程，获得省级或自治区级及以上职业教育在线精品课程认定，供应商提供合同复印件及对应获奖证明（包括课程截图、获奖文件）相关文件材料证明，每提供一门得1分，最多得6分。（响应文件中提供有效合同复印件，合同内容能清晰反应服务名称、种类、金额，复印件均加盖供应商公章，同一个项目不重复计分）</w:t>
      </w:r>
    </w:p>
    <w:p w14:paraId="53D60C5E">
      <w:pPr>
        <w:pStyle w:val="9"/>
        <w:spacing w:line="360" w:lineRule="auto"/>
        <w:ind w:firstLine="480" w:firstLineChars="150"/>
        <w:rPr>
          <w:rFonts w:hAnsi="宋体" w:cs="宋体"/>
        </w:rPr>
      </w:pPr>
      <w:r>
        <w:rPr>
          <w:rFonts w:hint="eastAsia" w:ascii="仿宋_GB2312" w:hAnsi="仿宋_GB2312" w:eastAsia="仿宋_GB2312" w:cs="仿宋_GB2312"/>
          <w:bCs/>
          <w:sz w:val="32"/>
          <w:szCs w:val="32"/>
        </w:rPr>
        <w:t>（三）总得分=1+2+3+4+5+6。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OTRmM2Y5NmMxMmQ3YzUwMDNlOTU0M2Y4ZDljOGUifQ=="/>
  </w:docVars>
  <w:rsids>
    <w:rsidRoot w:val="002D3E47"/>
    <w:rsid w:val="000B7B53"/>
    <w:rsid w:val="000D78F5"/>
    <w:rsid w:val="002C34DD"/>
    <w:rsid w:val="002D3E47"/>
    <w:rsid w:val="003341FF"/>
    <w:rsid w:val="003574C7"/>
    <w:rsid w:val="00431F65"/>
    <w:rsid w:val="00474929"/>
    <w:rsid w:val="004B4C21"/>
    <w:rsid w:val="005E0F05"/>
    <w:rsid w:val="0078366E"/>
    <w:rsid w:val="007F381E"/>
    <w:rsid w:val="00805B3C"/>
    <w:rsid w:val="00945774"/>
    <w:rsid w:val="00B80837"/>
    <w:rsid w:val="00C27D57"/>
    <w:rsid w:val="00D928FF"/>
    <w:rsid w:val="00DA1D7C"/>
    <w:rsid w:val="00F1626E"/>
    <w:rsid w:val="00FB750F"/>
    <w:rsid w:val="09063A89"/>
    <w:rsid w:val="0AE55920"/>
    <w:rsid w:val="0E875E6C"/>
    <w:rsid w:val="0EAA4EB7"/>
    <w:rsid w:val="10292D71"/>
    <w:rsid w:val="1081094B"/>
    <w:rsid w:val="11415A96"/>
    <w:rsid w:val="119B3240"/>
    <w:rsid w:val="11AE74B8"/>
    <w:rsid w:val="17D42FA4"/>
    <w:rsid w:val="1A226249"/>
    <w:rsid w:val="1C375267"/>
    <w:rsid w:val="1CE51334"/>
    <w:rsid w:val="1D646B79"/>
    <w:rsid w:val="20927EDB"/>
    <w:rsid w:val="213A2077"/>
    <w:rsid w:val="27AE736E"/>
    <w:rsid w:val="299407E6"/>
    <w:rsid w:val="2CB71B17"/>
    <w:rsid w:val="2E1C51B6"/>
    <w:rsid w:val="35A3374E"/>
    <w:rsid w:val="35D94150"/>
    <w:rsid w:val="3C50640A"/>
    <w:rsid w:val="3C705B84"/>
    <w:rsid w:val="3D54192A"/>
    <w:rsid w:val="41EB00DA"/>
    <w:rsid w:val="438A0837"/>
    <w:rsid w:val="4E3920E0"/>
    <w:rsid w:val="51791EEB"/>
    <w:rsid w:val="51CE2237"/>
    <w:rsid w:val="530C3017"/>
    <w:rsid w:val="56D7393C"/>
    <w:rsid w:val="57F10A2D"/>
    <w:rsid w:val="604169FB"/>
    <w:rsid w:val="623936FD"/>
    <w:rsid w:val="73F868A4"/>
    <w:rsid w:val="7734342E"/>
    <w:rsid w:val="79D35D8D"/>
    <w:rsid w:val="7B3F44E6"/>
    <w:rsid w:val="7FF4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link w:val="17"/>
    <w:uiPriority w:val="0"/>
    <w:pPr>
      <w:spacing w:after="120"/>
    </w:pPr>
  </w:style>
  <w:style w:type="paragraph" w:styleId="8">
    <w:name w:val="Body Text Indent"/>
    <w:basedOn w:val="1"/>
    <w:next w:val="1"/>
    <w:autoRedefine/>
    <w:qFormat/>
    <w:uiPriority w:val="0"/>
    <w:pPr>
      <w:ind w:firstLine="830" w:firstLineChars="352"/>
    </w:pPr>
    <w:rPr>
      <w:rFonts w:ascii="仿宋_GB2312" w:eastAsia="仿宋_GB2312"/>
      <w:kern w:val="0"/>
      <w:sz w:val="32"/>
      <w:szCs w:val="20"/>
    </w:rPr>
  </w:style>
  <w:style w:type="paragraph" w:styleId="9">
    <w:name w:val="Plain Text"/>
    <w:basedOn w:val="1"/>
    <w:next w:val="10"/>
    <w:link w:val="21"/>
    <w:autoRedefine/>
    <w:qFormat/>
    <w:uiPriority w:val="99"/>
    <w:rPr>
      <w:rFonts w:ascii="宋体" w:hAnsi="Courier New"/>
      <w:kern w:val="0"/>
      <w:sz w:val="20"/>
      <w:szCs w:val="21"/>
    </w:rPr>
  </w:style>
  <w:style w:type="paragraph" w:styleId="10">
    <w:name w:val="Date"/>
    <w:basedOn w:val="1"/>
    <w:next w:val="1"/>
    <w:uiPriority w:val="0"/>
    <w:pPr>
      <w:ind w:left="100" w:leftChars="2500"/>
    </w:pPr>
    <w:rPr>
      <w:rFonts w:ascii="Calibri" w:hAnsi="Calibri"/>
      <w:spacing w:val="30"/>
      <w:sz w:val="28"/>
    </w:rPr>
  </w:style>
  <w:style w:type="paragraph" w:styleId="11">
    <w:name w:val="footer"/>
    <w:basedOn w:val="1"/>
    <w:link w:val="24"/>
    <w:uiPriority w:val="0"/>
    <w:pPr>
      <w:tabs>
        <w:tab w:val="center" w:pos="4153"/>
        <w:tab w:val="right" w:pos="8306"/>
      </w:tabs>
      <w:snapToGrid w:val="0"/>
      <w:jc w:val="left"/>
    </w:pPr>
    <w:rPr>
      <w:sz w:val="18"/>
      <w:szCs w:val="18"/>
    </w:rPr>
  </w:style>
  <w:style w:type="paragraph" w:styleId="12">
    <w:name w:val="header"/>
    <w:basedOn w:val="1"/>
    <w:link w:val="23"/>
    <w:uiPriority w:val="0"/>
    <w:pPr>
      <w:tabs>
        <w:tab w:val="center" w:pos="4153"/>
        <w:tab w:val="right" w:pos="8306"/>
      </w:tabs>
      <w:snapToGrid w:val="0"/>
      <w:jc w:val="center"/>
    </w:pPr>
    <w:rPr>
      <w:sz w:val="18"/>
      <w:szCs w:val="18"/>
    </w:rPr>
  </w:style>
  <w:style w:type="paragraph" w:styleId="13">
    <w:name w:val="Body Text First Indent 2"/>
    <w:basedOn w:val="8"/>
    <w:next w:val="14"/>
    <w:autoRedefine/>
    <w:unhideWhenUsed/>
    <w:qFormat/>
    <w:uiPriority w:val="0"/>
    <w:pPr>
      <w:ind w:firstLine="420" w:firstLineChars="200"/>
    </w:pPr>
    <w:rPr>
      <w:rFonts w:ascii="宋体"/>
      <w:sz w:val="34"/>
    </w:rPr>
  </w:style>
  <w:style w:type="paragraph" w:customStyle="1" w:styleId="14">
    <w:name w:val="明显引用1"/>
    <w:basedOn w:val="1"/>
    <w:next w:val="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
    <w:name w:val="正文文本 字符"/>
    <w:basedOn w:val="16"/>
    <w:link w:val="7"/>
    <w:qFormat/>
    <w:uiPriority w:val="0"/>
    <w:rPr>
      <w:rFonts w:ascii="Times New Roman" w:hAnsi="Times New Roman" w:eastAsia="宋体" w:cs="Times New Roman"/>
      <w:kern w:val="2"/>
      <w:sz w:val="21"/>
      <w:szCs w:val="24"/>
    </w:rPr>
  </w:style>
  <w:style w:type="paragraph" w:customStyle="1" w:styleId="18">
    <w:name w:val="表格文字1151"/>
    <w:basedOn w:val="1"/>
    <w:qFormat/>
    <w:uiPriority w:val="0"/>
    <w:pPr>
      <w:spacing w:before="25" w:after="25"/>
      <w:jc w:val="left"/>
    </w:pPr>
    <w:rPr>
      <w:bCs/>
      <w:spacing w:val="10"/>
      <w:kern w:val="0"/>
      <w:sz w:val="24"/>
    </w:rPr>
  </w:style>
  <w:style w:type="paragraph" w:customStyle="1" w:styleId="19">
    <w:name w:val="列出段落"/>
    <w:basedOn w:val="1"/>
    <w:qFormat/>
    <w:uiPriority w:val="0"/>
    <w:pPr>
      <w:spacing w:line="360" w:lineRule="auto"/>
      <w:ind w:firstLine="420" w:firstLineChars="200"/>
    </w:pPr>
    <w:rPr>
      <w:sz w:val="28"/>
      <w:szCs w:val="28"/>
    </w:rPr>
  </w:style>
  <w:style w:type="paragraph" w:customStyle="1" w:styleId="20">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rPr>
  </w:style>
  <w:style w:type="character" w:customStyle="1" w:styleId="21">
    <w:name w:val="纯文本 字符"/>
    <w:basedOn w:val="16"/>
    <w:link w:val="9"/>
    <w:uiPriority w:val="99"/>
    <w:rPr>
      <w:rFonts w:ascii="宋体" w:hAnsi="Courier New" w:eastAsia="宋体" w:cs="Times New Roman"/>
      <w:szCs w:val="21"/>
    </w:rPr>
  </w:style>
  <w:style w:type="paragraph" w:customStyle="1" w:styleId="2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字符"/>
    <w:basedOn w:val="16"/>
    <w:link w:val="12"/>
    <w:uiPriority w:val="0"/>
    <w:rPr>
      <w:rFonts w:ascii="Times New Roman" w:hAnsi="Times New Roman" w:eastAsia="宋体" w:cs="Times New Roman"/>
      <w:kern w:val="2"/>
      <w:sz w:val="18"/>
      <w:szCs w:val="18"/>
    </w:rPr>
  </w:style>
  <w:style w:type="character" w:customStyle="1" w:styleId="24">
    <w:name w:val="页脚 字符"/>
    <w:basedOn w:val="16"/>
    <w:link w:val="11"/>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3200</Words>
  <Characters>3250</Characters>
  <Lines>23</Lines>
  <Paragraphs>6</Paragraphs>
  <TotalTime>1</TotalTime>
  <ScaleCrop>false</ScaleCrop>
  <LinksUpToDate>false</LinksUpToDate>
  <CharactersWithSpaces>3257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2024-07-15T01:27:00Z</dcterms:created>
  <dc:creator>1059646894</dc:creator>
  <cp:lastModifiedBy>LEON</cp:lastModifiedBy>
  <dcterms:modified xsi:type="dcterms:W3CDTF">2024-07-16T03:02:21Z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9126DDD4B43048628FA8871A900BDFFA_13</vt:lpwstr>
  </property>
</Properties>
</file>