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防城港职业技术学院</w:t>
      </w:r>
      <w:r>
        <w:rPr>
          <w:rFonts w:hint="eastAsia" w:ascii="黑体" w:hAnsi="宋体" w:eastAsia="黑体"/>
          <w:b/>
          <w:color w:val="auto"/>
          <w:sz w:val="36"/>
          <w:szCs w:val="36"/>
        </w:rPr>
        <w:t>生活垃圾清运</w:t>
      </w:r>
      <w:r>
        <w:rPr>
          <w:rFonts w:hint="eastAsia" w:ascii="黑体" w:hAnsi="宋体" w:eastAsia="黑体"/>
          <w:b/>
          <w:color w:val="auto"/>
          <w:sz w:val="36"/>
          <w:szCs w:val="36"/>
          <w:lang w:val="en-US" w:eastAsia="zh-CN"/>
        </w:rPr>
        <w:t>和处理</w:t>
      </w:r>
      <w:r>
        <w:rPr>
          <w:rFonts w:hint="eastAsia" w:ascii="黑体" w:hAnsi="宋体" w:eastAsia="黑体"/>
          <w:b/>
          <w:color w:val="auto"/>
          <w:sz w:val="36"/>
          <w:szCs w:val="36"/>
        </w:rPr>
        <w:t>服务项目报价</w:t>
      </w:r>
      <w:r>
        <w:rPr>
          <w:rFonts w:hint="eastAsia" w:ascii="黑体" w:hAnsi="宋体" w:eastAsia="黑体"/>
          <w:b/>
          <w:color w:val="auto"/>
          <w:sz w:val="36"/>
          <w:szCs w:val="36"/>
          <w:lang w:val="en-US" w:eastAsia="zh-CN"/>
        </w:rPr>
        <w:t>单</w:t>
      </w:r>
    </w:p>
    <w:bookmarkEnd w:id="0"/>
    <w:tbl>
      <w:tblPr>
        <w:tblStyle w:val="3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4678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项目内容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报价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防城港职业技术学院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2024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年生活垃圾清运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和处理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服务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大写：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圆/壹年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（小写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¥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元/壹年）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（超过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18.6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万元/壹年为无效报价）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本项目采用合同总价包干，除支付全年生活垃圾清运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和处理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服务费用外，甲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方不再支付任何其他费用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2.校方预估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每日垃圾约1吨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，投标人可予以参考或自行评估数量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pacing w:line="420" w:lineRule="exact"/>
        <w:jc w:val="left"/>
        <w:rPr>
          <w:rFonts w:hint="eastAsia" w:ascii="黑体" w:eastAsia="黑体"/>
          <w:b/>
          <w:color w:val="auto"/>
          <w:sz w:val="24"/>
          <w:szCs w:val="24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>注：所报价格应</w:t>
      </w:r>
      <w:r>
        <w:rPr>
          <w:rFonts w:ascii="黑体" w:eastAsia="黑体"/>
          <w:b/>
          <w:color w:val="auto"/>
          <w:sz w:val="24"/>
          <w:szCs w:val="24"/>
        </w:rPr>
        <w:t>包括在承包期内</w:t>
      </w:r>
      <w:r>
        <w:rPr>
          <w:rFonts w:hint="eastAsia" w:ascii="黑体" w:eastAsia="黑体"/>
          <w:b/>
          <w:color w:val="auto"/>
          <w:sz w:val="24"/>
          <w:szCs w:val="24"/>
        </w:rPr>
        <w:t>从学校到垃圾处理站及垃圾处理所需的人工费、车费、税费、处理费及合同包含的所有风险、责任等各项应有的一切费用。</w:t>
      </w:r>
    </w:p>
    <w:p>
      <w:pPr>
        <w:spacing w:line="420" w:lineRule="exact"/>
        <w:ind w:firstLine="472" w:firstLineChars="196"/>
        <w:rPr>
          <w:rFonts w:hint="eastAsia" w:ascii="黑体" w:eastAsia="黑体"/>
          <w:b/>
          <w:color w:val="auto"/>
          <w:sz w:val="24"/>
          <w:szCs w:val="24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 xml:space="preserve">本报价表共计1页，必须加盖投标单位公章方为有效。 </w:t>
      </w:r>
    </w:p>
    <w:p>
      <w:pPr>
        <w:widowControl/>
        <w:spacing w:line="420" w:lineRule="exact"/>
        <w:ind w:firstLine="472" w:firstLineChars="196"/>
        <w:jc w:val="left"/>
        <w:rPr>
          <w:rFonts w:hint="eastAsia" w:ascii="黑体" w:eastAsia="黑体"/>
          <w:b/>
          <w:color w:val="auto"/>
          <w:sz w:val="24"/>
          <w:szCs w:val="24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>生活垃圾清运需在校方指定时间内、指定地点完成清运。</w:t>
      </w:r>
    </w:p>
    <w:p>
      <w:pPr>
        <w:spacing w:line="420" w:lineRule="exact"/>
        <w:rPr>
          <w:rFonts w:hint="eastAsia" w:ascii="宋体" w:hAnsi="宋体"/>
          <w:color w:val="auto"/>
          <w:sz w:val="28"/>
          <w:szCs w:val="28"/>
        </w:rPr>
      </w:pPr>
    </w:p>
    <w:p>
      <w:pPr>
        <w:spacing w:line="420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投标单位（公章）：</w:t>
      </w:r>
    </w:p>
    <w:p>
      <w:pPr>
        <w:spacing w:line="420" w:lineRule="exact"/>
        <w:rPr>
          <w:rFonts w:hint="eastAsia" w:ascii="宋体" w:hAnsi="宋体"/>
          <w:color w:val="auto"/>
          <w:sz w:val="28"/>
          <w:szCs w:val="28"/>
        </w:rPr>
      </w:pPr>
    </w:p>
    <w:p>
      <w:pPr>
        <w:spacing w:line="420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联   系   人：                     联系电话：                        年   月</w:t>
      </w:r>
    </w:p>
    <w:p>
      <w:pPr>
        <w:spacing w:line="420" w:lineRule="exact"/>
        <w:rPr>
          <w:rFonts w:hint="eastAsia" w:ascii="宋体" w:hAnsi="宋体"/>
          <w:color w:val="auto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DAzZTA2NDZlMzQxYmNhZDNiMTYyMDhhYWY4NWUifQ=="/>
  </w:docVars>
  <w:rsids>
    <w:rsidRoot w:val="27D62826"/>
    <w:rsid w:val="27D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2023-12-26T04:09:00Z</dcterms:created>
  <dc:creator>WPS_1665459608</dc:creator>
  <cp:lastModifiedBy>WPS_1665459608</cp:lastModifiedBy>
  <dcterms:modified xsi:type="dcterms:W3CDTF">2023-12-26T04:09:52Z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990D03350D054129871964AB375E4725_11</vt:lpwstr>
  </property>
</Properties>
</file>